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12797">
      <w:pPr>
        <w:pStyle w:val="a1"/>
        <w:ind w:left="1620"/>
        <w:rPr>
          <w:bCs/>
          <w:sz w:val="20"/>
          <w:szCs w:val="20"/>
        </w:rPr>
      </w:pPr>
      <w:bookmarkStart w:id="0" w:name="_GoBack"/>
      <w:bookmarkEnd w:id="0"/>
    </w:p>
    <w:p w:rsidR="00000000" w:rsidRDefault="00512797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>Электронные и бумажные уведомления заменят свидетельство обязательного пенсионного страхования</w:t>
      </w:r>
    </w:p>
    <w:p w:rsidR="00000000" w:rsidRDefault="00512797">
      <w:pPr>
        <w:ind w:firstLine="709"/>
        <w:jc w:val="both"/>
        <w:rPr>
          <w:b/>
          <w:bCs/>
          <w:kern w:val="1"/>
          <w:sz w:val="26"/>
          <w:szCs w:val="26"/>
          <w:lang w:eastAsia="ru-RU"/>
        </w:rPr>
      </w:pPr>
    </w:p>
    <w:p w:rsidR="00000000" w:rsidRDefault="00512797">
      <w:pPr>
        <w:ind w:firstLine="709"/>
        <w:jc w:val="both"/>
        <w:rPr>
          <w:sz w:val="28"/>
          <w:szCs w:val="28"/>
        </w:rPr>
      </w:pPr>
    </w:p>
    <w:p w:rsidR="00000000" w:rsidRDefault="00512797">
      <w:pPr>
        <w:pStyle w:val="26"/>
        <w:ind w:firstLine="709"/>
        <w:rPr>
          <w:rStyle w:val="a9"/>
          <w:i w:val="0"/>
          <w:iCs w:val="0"/>
          <w:color w:val="000000"/>
          <w:sz w:val="26"/>
          <w:szCs w:val="26"/>
          <w:lang w:eastAsia="ru-RU"/>
        </w:rPr>
      </w:pPr>
      <w:r>
        <w:rPr>
          <w:rStyle w:val="a9"/>
          <w:i w:val="0"/>
          <w:iCs w:val="0"/>
          <w:color w:val="000000"/>
          <w:sz w:val="24"/>
        </w:rPr>
        <w:t>С</w:t>
      </w:r>
      <w:r>
        <w:rPr>
          <w:rStyle w:val="a9"/>
          <w:i w:val="0"/>
          <w:iCs w:val="0"/>
          <w:color w:val="000000"/>
          <w:sz w:val="24"/>
        </w:rPr>
        <w:t xml:space="preserve"> 29 сентября 2019 г. вступило в силу постановление Правления ПФР от 13 июня 2019 г. № 335п, которым утверждена форма документа, подтверждающего регистрацию в</w:t>
      </w:r>
      <w:r>
        <w:rPr>
          <w:rStyle w:val="a9"/>
          <w:i w:val="0"/>
          <w:iCs w:val="0"/>
          <w:color w:val="000000"/>
          <w:sz w:val="24"/>
        </w:rPr>
        <w:t xml:space="preserve"> системе индивидуального (персонифицированного) учета «Уведомление о регистрации в системе индивидуального (персонифицированного) учета (АДИ-РЕГ)» (далее — Уведомление). </w:t>
      </w:r>
      <w:r>
        <w:rPr>
          <w:rStyle w:val="a9"/>
          <w:i w:val="0"/>
          <w:iCs w:val="0"/>
          <w:color w:val="000000"/>
          <w:sz w:val="24"/>
        </w:rPr>
        <w:t>И</w:t>
      </w:r>
      <w:r>
        <w:rPr>
          <w:rStyle w:val="a9"/>
          <w:i w:val="0"/>
          <w:iCs w:val="0"/>
          <w:color w:val="000000"/>
          <w:sz w:val="26"/>
          <w:szCs w:val="26"/>
          <w:lang w:eastAsia="ru-RU"/>
        </w:rPr>
        <w:t>нформация о СНИЛСе будет предоставляться человеку в виде электронного или бумажного у</w:t>
      </w:r>
      <w:r>
        <w:rPr>
          <w:rStyle w:val="a9"/>
          <w:i w:val="0"/>
          <w:iCs w:val="0"/>
          <w:color w:val="000000"/>
          <w:sz w:val="26"/>
          <w:szCs w:val="26"/>
          <w:lang w:eastAsia="ru-RU"/>
        </w:rPr>
        <w:t xml:space="preserve">ведомления, которое заменит собой страховое свидетельство обязательного пенсионного страхования. </w:t>
      </w:r>
    </w:p>
    <w:p w:rsidR="00000000" w:rsidRDefault="00512797">
      <w:pPr>
        <w:spacing w:line="360" w:lineRule="auto"/>
        <w:ind w:firstLine="709"/>
        <w:jc w:val="both"/>
        <w:rPr>
          <w:rStyle w:val="a9"/>
          <w:i w:val="0"/>
          <w:iCs w:val="0"/>
          <w:color w:val="000000"/>
          <w:sz w:val="26"/>
          <w:szCs w:val="26"/>
          <w:lang w:eastAsia="ru-RU"/>
        </w:rPr>
      </w:pPr>
      <w:r>
        <w:rPr>
          <w:rStyle w:val="a9"/>
          <w:i w:val="0"/>
          <w:iCs w:val="0"/>
          <w:color w:val="000000"/>
          <w:sz w:val="26"/>
          <w:szCs w:val="26"/>
          <w:lang w:eastAsia="ru-RU"/>
        </w:rPr>
        <w:t xml:space="preserve">Принятые изменения сохраняют привычный бумажный формат СНИЛСа и дополняют его новыми электронными возможностями. </w:t>
      </w:r>
      <w:r>
        <w:rPr>
          <w:rStyle w:val="a9"/>
          <w:i w:val="0"/>
          <w:iCs w:val="0"/>
          <w:color w:val="000000"/>
          <w:lang w:eastAsia="ru-RU"/>
        </w:rPr>
        <w:t>30 сентября 2019 года опубликован электронный</w:t>
      </w:r>
      <w:r>
        <w:rPr>
          <w:rStyle w:val="a9"/>
          <w:i w:val="0"/>
          <w:iCs w:val="0"/>
          <w:color w:val="000000"/>
          <w:lang w:eastAsia="ru-RU"/>
        </w:rPr>
        <w:t xml:space="preserve"> сервис ПФР, позволяющий формировать Уведомление посредством Личного кабинета гражданина на сайте ПФР с возможностью его сохранения в целях дальнейшего направления гражданином по месту требования.  </w:t>
      </w:r>
    </w:p>
    <w:p w:rsidR="00000000" w:rsidRDefault="00512797">
      <w:pPr>
        <w:spacing w:line="360" w:lineRule="auto"/>
        <w:ind w:firstLine="709"/>
        <w:jc w:val="both"/>
        <w:rPr>
          <w:rStyle w:val="a9"/>
          <w:i w:val="0"/>
          <w:iCs w:val="0"/>
          <w:color w:val="000000"/>
        </w:rPr>
      </w:pPr>
      <w:r>
        <w:rPr>
          <w:rStyle w:val="a9"/>
          <w:i w:val="0"/>
          <w:iCs w:val="0"/>
          <w:color w:val="000000"/>
          <w:sz w:val="26"/>
          <w:szCs w:val="26"/>
          <w:lang w:eastAsia="ru-RU"/>
        </w:rPr>
        <w:t>Уведомления включат в себя все сведения, которые отражены</w:t>
      </w:r>
      <w:r>
        <w:rPr>
          <w:rStyle w:val="a9"/>
          <w:i w:val="0"/>
          <w:iCs w:val="0"/>
          <w:color w:val="000000"/>
          <w:sz w:val="26"/>
          <w:szCs w:val="26"/>
          <w:lang w:eastAsia="ru-RU"/>
        </w:rPr>
        <w:t xml:space="preserve">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или управлении Пенсионного фонда России, а также в МФЦ. Электронн</w:t>
      </w:r>
      <w:r>
        <w:rPr>
          <w:rStyle w:val="a9"/>
          <w:i w:val="0"/>
          <w:iCs w:val="0"/>
          <w:color w:val="000000"/>
          <w:sz w:val="26"/>
          <w:szCs w:val="26"/>
          <w:lang w:eastAsia="ru-RU"/>
        </w:rPr>
        <w:t>ое уведомление будет всегда доступно в личном кабинете.</w:t>
      </w:r>
    </w:p>
    <w:p w:rsidR="00000000" w:rsidRDefault="00512797">
      <w:pPr>
        <w:pStyle w:val="26"/>
        <w:ind w:firstLine="709"/>
        <w:rPr>
          <w:b/>
          <w:sz w:val="20"/>
          <w:szCs w:val="20"/>
          <w:lang w:eastAsia="ru-RU"/>
        </w:rPr>
      </w:pPr>
      <w:r>
        <w:rPr>
          <w:rStyle w:val="a9"/>
          <w:i w:val="0"/>
          <w:iCs w:val="0"/>
          <w:color w:val="000000"/>
          <w:sz w:val="24"/>
        </w:rPr>
        <w:t>При этом необходимо отметить, что страховые свидетельства обязательного пенсионного страхования, выданные до дня вступления в силу Уведомления, сохраняют свое действие, обмену не подлежат и являются д</w:t>
      </w:r>
      <w:r>
        <w:rPr>
          <w:rStyle w:val="a9"/>
          <w:i w:val="0"/>
          <w:iCs w:val="0"/>
          <w:color w:val="000000"/>
          <w:sz w:val="24"/>
        </w:rPr>
        <w:t>окументами, идентичными Уведомлению.</w:t>
      </w:r>
    </w:p>
    <w:p w:rsidR="00512797" w:rsidRDefault="00512797">
      <w:pPr>
        <w:pStyle w:val="26"/>
        <w:ind w:firstLine="709"/>
      </w:pPr>
    </w:p>
    <w:sectPr w:rsidR="00512797">
      <w:footerReference w:type="default" r:id="rId7"/>
      <w:footerReference w:type="first" r:id="rId8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97" w:rsidRDefault="00512797">
      <w:r>
        <w:separator/>
      </w:r>
    </w:p>
  </w:endnote>
  <w:endnote w:type="continuationSeparator" w:id="0">
    <w:p w:rsidR="00512797" w:rsidRDefault="0051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84D46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ADD22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27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97" w:rsidRDefault="00512797">
      <w:r>
        <w:separator/>
      </w:r>
    </w:p>
  </w:footnote>
  <w:footnote w:type="continuationSeparator" w:id="0">
    <w:p w:rsidR="00512797" w:rsidRDefault="0051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6"/>
    <w:rsid w:val="00484D46"/>
    <w:rsid w:val="0051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9FF2EA-D19D-475C-BEDC-347D0951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text-highlight">
    <w:name w:val="text-highlight"/>
    <w:basedOn w:val="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4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8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9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5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26">
    <w:name w:val="Обычный отступ2"/>
    <w:basedOn w:val="a"/>
    <w:pPr>
      <w:spacing w:line="360" w:lineRule="auto"/>
      <w:ind w:firstLine="62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2019-04-05T12:15:00Z</cp:lastPrinted>
  <dcterms:created xsi:type="dcterms:W3CDTF">2019-10-24T05:35:00Z</dcterms:created>
  <dcterms:modified xsi:type="dcterms:W3CDTF">2019-10-24T05:35:00Z</dcterms:modified>
</cp:coreProperties>
</file>